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pPr>
    </w:p>
    <w:p>
      <w:pPr>
        <w:keepNext w:val="0"/>
        <w:keepLines w:val="0"/>
        <w:pageBreakBefore w:val="0"/>
        <w:kinsoku/>
        <w:wordWrap/>
        <w:overflowPunct/>
        <w:topLinePunct w:val="0"/>
        <w:autoSpaceDE/>
        <w:autoSpaceDN/>
        <w:bidi w:val="0"/>
        <w:spacing w:line="560" w:lineRule="exact"/>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pPr>
      <w:r>
        <w:rPr>
          <w:rFonts w:hint="eastAsia"/>
        </w:rPr>
        <w:pict>
          <v:shape id="_x0000_s1026" o:spid="_x0000_s1026" o:spt="136" type="#_x0000_t136" style="position:absolute;left:0pt;margin-left:23.1pt;margin-top:22.3pt;height:81.45pt;width:391.45pt;z-index:251662336;mso-width-relative:page;mso-height-relative:page;" fillcolor="#FF0000" filled="t" stroked="f" coordsize="21600,21600" adj="10800">
            <v:path/>
            <v:fill on="t" color2="#FFFFFF" focussize="0,0"/>
            <v:stroke on="f"/>
            <v:imagedata o:title=""/>
            <o:lock v:ext="edit" aspectratio="f"/>
            <v:textpath on="t" fitshape="t" fitpath="t" trim="t" xscale="f" string="滕州市人民政府文件" style="font-family:华文中宋;font-size:36pt;font-weight:bold;v-text-align:center;"/>
          </v:shape>
        </w:pict>
      </w:r>
    </w:p>
    <w:p>
      <w:pPr>
        <w:keepNext w:val="0"/>
        <w:keepLines w:val="0"/>
        <w:pageBreakBefore w:val="0"/>
        <w:kinsoku/>
        <w:wordWrap/>
        <w:overflowPunct/>
        <w:topLinePunct w:val="0"/>
        <w:autoSpaceDE/>
        <w:autoSpaceDN/>
        <w:bidi w:val="0"/>
        <w:spacing w:line="560" w:lineRule="exact"/>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pP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pP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pP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pPr>
    </w:p>
    <w:p>
      <w:pPr>
        <w:keepNext w:val="0"/>
        <w:keepLines w:val="0"/>
        <w:pageBreakBefore w:val="0"/>
        <w:widowControl/>
        <w:suppressLineNumbers w:val="0"/>
        <w:kinsoku/>
        <w:wordWrap/>
        <w:overflowPunct/>
        <w:topLinePunct w:val="0"/>
        <w:autoSpaceDE/>
        <w:autoSpaceDN/>
        <w:bidi w:val="0"/>
        <w:spacing w:line="560" w:lineRule="exact"/>
        <w:jc w:val="center"/>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滕政发〔</w:t>
      </w:r>
      <w:r>
        <w:rPr>
          <w:rFonts w:hint="default" w:ascii="仿宋_GB2312" w:hAnsi="仿宋_GB2312" w:eastAsia="仿宋_GB2312" w:cs="仿宋_GB2312"/>
          <w:kern w:val="0"/>
          <w:sz w:val="32"/>
          <w:szCs w:val="32"/>
          <w:lang w:val="en-US" w:eastAsia="zh-CN" w:bidi="ar"/>
        </w:rPr>
        <w:t>202</w:t>
      </w:r>
      <w:r>
        <w:rPr>
          <w:rFonts w:hint="eastAsia" w:ascii="仿宋_GB2312" w:hAnsi="仿宋_GB2312" w:eastAsia="仿宋_GB2312" w:cs="仿宋_GB2312"/>
          <w:kern w:val="0"/>
          <w:sz w:val="32"/>
          <w:szCs w:val="32"/>
          <w:lang w:val="en-US" w:eastAsia="zh-CN" w:bidi="ar"/>
        </w:rPr>
        <w:t>1〕11号</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pP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pPr>
      <w:r>
        <w:rPr>
          <w:rFonts w:hint="eastAsia"/>
        </w:rPr>
        <mc:AlternateContent>
          <mc:Choice Requires="wps">
            <w:drawing>
              <wp:anchor distT="0" distB="0" distL="114300" distR="114300" simplePos="0" relativeHeight="251664384" behindDoc="0" locked="0" layoutInCell="1" allowOverlap="1">
                <wp:simplePos x="0" y="0"/>
                <wp:positionH relativeFrom="column">
                  <wp:posOffset>281940</wp:posOffset>
                </wp:positionH>
                <wp:positionV relativeFrom="paragraph">
                  <wp:posOffset>5080</wp:posOffset>
                </wp:positionV>
                <wp:extent cx="5143500" cy="635"/>
                <wp:effectExtent l="0" t="0" r="0" b="0"/>
                <wp:wrapNone/>
                <wp:docPr id="2" name="直接连接符 2"/>
                <wp:cNvGraphicFramePr/>
                <a:graphic xmlns:a="http://schemas.openxmlformats.org/drawingml/2006/main">
                  <a:graphicData uri="http://schemas.microsoft.com/office/word/2010/wordprocessingShape">
                    <wps:wsp>
                      <wps:cNvCnPr/>
                      <wps:spPr>
                        <a:xfrm>
                          <a:off x="1283970" y="3328035"/>
                          <a:ext cx="5143500" cy="635"/>
                        </a:xfrm>
                        <a:prstGeom prst="line">
                          <a:avLst/>
                        </a:prstGeom>
                        <a:ln w="28575"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22.2pt;margin-top:0.4pt;height:0.05pt;width:405pt;z-index:251664384;mso-width-relative:page;mso-height-relative:page;" filled="f" stroked="t" coordsize="21600,21600" o:gfxdata="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XGNmntIAAAAEAQAADwAAAAAAAAABACAAAAAiAAAAZHJzL2Rvd25yZXYueG1sUEsBAhQAFAAAAAgA&#10;h07iQJiorC3yAQAAswMAAA4AAAAAAAAAAQAgAAAAIQEAAGRycy9lMm9Eb2MueG1sUEsFBgAAAAAG&#10;AAYAWQEAAIUFAAAAAA==&#10;">
                <v:path arrowok="t"/>
                <v:fill on="f" focussize="0,0"/>
                <v:stroke weight="2.25pt" color="#FF0000" joinstyle="round"/>
                <v:imagedata o:title=""/>
                <o:lock v:ext="edit" aspectratio="f"/>
              </v:line>
            </w:pict>
          </mc:Fallback>
        </mc:AlternateConten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2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t>滕州市</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人民政府</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pPr>
      <w:r>
        <w:rPr>
          <w:rFonts w:hint="eastAsia" w:ascii="方正小标宋简体" w:hAnsi="方正小标宋简体" w:eastAsia="方正小标宋简体" w:cs="方正小标宋简体"/>
          <w:b w:val="0"/>
          <w:bCs w:val="0"/>
          <w:i w:val="0"/>
          <w:iCs w:val="0"/>
          <w:caps w:val="0"/>
          <w:color w:val="333333"/>
          <w:spacing w:val="-20"/>
          <w:sz w:val="44"/>
          <w:szCs w:val="44"/>
          <w:shd w:val="clear" w:fill="FFFFFF"/>
        </w:rPr>
        <w:t>关于增强企业融资能力助力</w:t>
      </w:r>
      <w:r>
        <w:rPr>
          <w:rFonts w:hint="eastAsia" w:ascii="方正小标宋简体" w:hAnsi="方正小标宋简体" w:eastAsia="方正小标宋简体" w:cs="方正小标宋简体"/>
          <w:b w:val="0"/>
          <w:bCs w:val="0"/>
          <w:i w:val="0"/>
          <w:iCs w:val="0"/>
          <w:caps w:val="0"/>
          <w:color w:val="333333"/>
          <w:spacing w:val="-20"/>
          <w:sz w:val="44"/>
          <w:szCs w:val="44"/>
          <w:shd w:val="clear" w:fill="FFFFFF"/>
          <w:lang w:val="en-US" w:eastAsia="zh-CN"/>
        </w:rPr>
        <w:t>经济</w:t>
      </w:r>
      <w:r>
        <w:rPr>
          <w:rFonts w:hint="eastAsia" w:ascii="方正小标宋简体" w:hAnsi="方正小标宋简体" w:eastAsia="方正小标宋简体" w:cs="方正小标宋简体"/>
          <w:b w:val="0"/>
          <w:bCs w:val="0"/>
          <w:i w:val="0"/>
          <w:iCs w:val="0"/>
          <w:caps w:val="0"/>
          <w:color w:val="333333"/>
          <w:spacing w:val="-20"/>
          <w:sz w:val="44"/>
          <w:szCs w:val="44"/>
          <w:shd w:val="clear" w:fill="FFFFFF"/>
        </w:rPr>
        <w:t>高质量发展的</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eastAsia="zh-CN"/>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若干意见</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eastAsia="zh-CN"/>
        </w:rPr>
        <w:t>（</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t>试行</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eastAsia="zh-CN"/>
        </w:rPr>
        <w:t>）</w:t>
      </w:r>
      <w:bookmarkStart w:id="0" w:name="_GoBack"/>
      <w:bookmarkEnd w:id="0"/>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rPr>
      </w:pP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全面深入实施全市金融支持“工业强市、产业兴市”三年攻坚突破行动，聚焦聚力攻坚任务目标，优化金融融资服务，进一步解决企业“融资难”“融资贵”问题，根据有关文件要求，针对企业贷款担保中普遍存在的抵押物评估价值偏低、担保物不足等问题，经研究提出如下意见。</w:t>
      </w:r>
    </w:p>
    <w:p>
      <w:pPr>
        <w:pStyle w:val="4"/>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eastAsia" w:ascii="仿宋_GB2312" w:hAnsi="仿宋_GB2312" w:eastAsia="仿宋_GB2312" w:cs="仿宋_GB2312"/>
          <w:sz w:val="32"/>
          <w:szCs w:val="32"/>
          <w:lang w:val="en-US" w:eastAsia="zh-CN"/>
        </w:rPr>
      </w:pPr>
      <w:r>
        <w:rPr>
          <w:rFonts w:hint="eastAsia" w:ascii="黑体" w:hAnsi="黑体" w:eastAsia="黑体" w:cs="黑体"/>
          <w:i w:val="0"/>
          <w:iCs w:val="0"/>
          <w:caps w:val="0"/>
          <w:color w:val="333333"/>
          <w:spacing w:val="0"/>
          <w:sz w:val="32"/>
          <w:szCs w:val="32"/>
          <w:shd w:val="clear" w:fill="FFFFFF"/>
          <w:lang w:val="en-US" w:eastAsia="zh-CN"/>
        </w:rPr>
        <w:t>一、制定</w:t>
      </w:r>
      <w:r>
        <w:rPr>
          <w:rFonts w:hint="eastAsia" w:ascii="黑体" w:hAnsi="黑体" w:eastAsia="黑体" w:cs="黑体"/>
          <w:i w:val="0"/>
          <w:iCs w:val="0"/>
          <w:caps w:val="0"/>
          <w:color w:val="333333"/>
          <w:spacing w:val="0"/>
          <w:sz w:val="32"/>
          <w:szCs w:val="32"/>
          <w:shd w:val="clear" w:fill="FFFFFF"/>
        </w:rPr>
        <w:t>土地评估</w:t>
      </w:r>
      <w:r>
        <w:rPr>
          <w:rFonts w:hint="eastAsia" w:ascii="黑体" w:hAnsi="黑体" w:eastAsia="黑体" w:cs="黑体"/>
          <w:i w:val="0"/>
          <w:iCs w:val="0"/>
          <w:caps w:val="0"/>
          <w:color w:val="333333"/>
          <w:spacing w:val="0"/>
          <w:sz w:val="32"/>
          <w:szCs w:val="32"/>
          <w:shd w:val="clear" w:fill="FFFFFF"/>
          <w:lang w:val="en-US" w:eastAsia="zh-CN"/>
        </w:rPr>
        <w:t>指导价格</w:t>
      </w:r>
      <w:r>
        <w:rPr>
          <w:rFonts w:hint="eastAsia" w:ascii="黑体" w:hAnsi="黑体" w:eastAsia="黑体" w:cs="黑体"/>
          <w:i w:val="0"/>
          <w:iCs w:val="0"/>
          <w:caps w:val="0"/>
          <w:color w:val="333333"/>
          <w:spacing w:val="0"/>
          <w:sz w:val="32"/>
          <w:szCs w:val="32"/>
          <w:shd w:val="clear" w:fill="FFFFFF"/>
        </w:rPr>
        <w:t>。</w:t>
      </w:r>
      <w:r>
        <w:rPr>
          <w:rFonts w:hint="eastAsia" w:ascii="仿宋_GB2312" w:hAnsi="仿宋_GB2312" w:eastAsia="仿宋_GB2312" w:cs="仿宋_GB2312"/>
          <w:sz w:val="32"/>
          <w:szCs w:val="32"/>
          <w:lang w:val="en-US" w:eastAsia="zh-CN"/>
        </w:rPr>
        <w:t>根据土地等级、土地指标、税费、成交案例等相关因素，综合考虑土地增值效应，出台城区工业用地抵押融资评估综合指导价（见附件），专项供各金融机构、担保机构及贷款融资企业参考使用。</w:t>
      </w:r>
      <w:r>
        <w:rPr>
          <w:rFonts w:hint="eastAsia" w:ascii="楷体_GB2312" w:hAnsi="楷体_GB2312" w:eastAsia="楷体_GB2312" w:cs="楷体_GB2312"/>
          <w:sz w:val="32"/>
          <w:szCs w:val="32"/>
          <w:lang w:val="en-US" w:eastAsia="zh-CN"/>
        </w:rPr>
        <w:t>（责任单位：市自然资源局）</w:t>
      </w:r>
      <w:r>
        <w:rPr>
          <w:rFonts w:hint="eastAsia" w:ascii="仿宋_GB2312" w:hAnsi="仿宋_GB2312" w:eastAsia="仿宋_GB2312" w:cs="仿宋_GB2312"/>
          <w:sz w:val="32"/>
          <w:szCs w:val="32"/>
          <w:lang w:val="en-US" w:eastAsia="zh-CN"/>
        </w:rPr>
        <w:t>各金融机构要积极向上争取，协调评估机构按城区工业用地抵押融资评估综合指导价各组成要素上限，对土地价值进行评估。</w:t>
      </w:r>
      <w:r>
        <w:rPr>
          <w:rFonts w:hint="eastAsia" w:ascii="楷体_GB2312" w:hAnsi="楷体_GB2312" w:eastAsia="楷体_GB2312" w:cs="楷体_GB2312"/>
          <w:sz w:val="32"/>
          <w:szCs w:val="32"/>
          <w:lang w:val="en-US" w:eastAsia="zh-CN"/>
        </w:rPr>
        <w:t>（责任单位：辖区银行机构）</w:t>
      </w:r>
    </w:p>
    <w:p>
      <w:pPr>
        <w:pStyle w:val="4"/>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eastAsia" w:ascii="仿宋_GB2312" w:hAnsi="仿宋_GB2312" w:eastAsia="仿宋_GB2312" w:cs="仿宋_GB2312"/>
          <w:sz w:val="32"/>
          <w:szCs w:val="32"/>
          <w:lang w:val="en-US" w:eastAsia="zh-CN"/>
        </w:rPr>
      </w:pPr>
      <w:r>
        <w:rPr>
          <w:rFonts w:hint="eastAsia" w:ascii="黑体" w:hAnsi="黑体" w:eastAsia="黑体" w:cs="黑体"/>
          <w:i w:val="0"/>
          <w:iCs w:val="0"/>
          <w:caps w:val="0"/>
          <w:color w:val="333333"/>
          <w:spacing w:val="0"/>
          <w:sz w:val="32"/>
          <w:szCs w:val="32"/>
          <w:shd w:val="clear" w:fill="FFFFFF"/>
          <w:lang w:val="en-US" w:eastAsia="zh-CN"/>
        </w:rPr>
        <w:t>二、提高</w:t>
      </w:r>
      <w:r>
        <w:rPr>
          <w:rFonts w:hint="eastAsia" w:ascii="黑体" w:hAnsi="黑体" w:eastAsia="黑体" w:cs="黑体"/>
          <w:i w:val="0"/>
          <w:iCs w:val="0"/>
          <w:caps w:val="0"/>
          <w:color w:val="333333"/>
          <w:spacing w:val="0"/>
          <w:sz w:val="32"/>
          <w:szCs w:val="32"/>
          <w:shd w:val="clear" w:fill="FFFFFF"/>
        </w:rPr>
        <w:t>贷款抵押率。</w:t>
      </w:r>
      <w:r>
        <w:rPr>
          <w:rFonts w:hint="eastAsia" w:ascii="仿宋_GB2312" w:hAnsi="仿宋_GB2312" w:eastAsia="仿宋_GB2312" w:cs="仿宋_GB2312"/>
          <w:sz w:val="32"/>
          <w:szCs w:val="32"/>
          <w:lang w:val="en-US" w:eastAsia="zh-CN"/>
        </w:rPr>
        <w:t>鼓励金融机构进一步提高首次贷款抵押率，综合考虑经营状况、资信程度、贷款期限和资产评估等因素，原则上按上限执行。重点支持滕州经济技术开发区等国家级经济技术开发区和鲁南高科技化工园区、高铁新区、墨子科创园等重点产业园区，园区项目土地抵押率原则上达到70%。</w:t>
      </w:r>
      <w:r>
        <w:rPr>
          <w:rFonts w:hint="eastAsia" w:ascii="楷体_GB2312" w:hAnsi="楷体_GB2312" w:eastAsia="楷体_GB2312" w:cs="楷体_GB2312"/>
          <w:sz w:val="32"/>
          <w:szCs w:val="32"/>
          <w:lang w:val="en-US" w:eastAsia="zh-CN"/>
        </w:rPr>
        <w:t>（责任单位：辖区银行机构）</w:t>
      </w:r>
    </w:p>
    <w:p>
      <w:pPr>
        <w:pStyle w:val="4"/>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eastAsia" w:ascii="楷体_GB2312" w:hAnsi="楷体_GB2312" w:eastAsia="楷体_GB2312" w:cs="楷体_GB2312"/>
          <w:sz w:val="32"/>
          <w:szCs w:val="32"/>
          <w:lang w:val="en-US" w:eastAsia="zh-CN"/>
        </w:rPr>
      </w:pPr>
      <w:r>
        <w:rPr>
          <w:rFonts w:hint="eastAsia" w:ascii="黑体" w:hAnsi="黑体" w:eastAsia="黑体" w:cs="黑体"/>
          <w:i w:val="0"/>
          <w:iCs w:val="0"/>
          <w:caps w:val="0"/>
          <w:color w:val="333333"/>
          <w:spacing w:val="0"/>
          <w:sz w:val="32"/>
          <w:szCs w:val="32"/>
          <w:shd w:val="clear" w:fill="FFFFFF"/>
          <w:lang w:val="en-US" w:eastAsia="zh-CN"/>
        </w:rPr>
        <w:t>三、扩大</w:t>
      </w:r>
      <w:r>
        <w:rPr>
          <w:rFonts w:hint="eastAsia" w:ascii="黑体" w:hAnsi="黑体" w:eastAsia="黑体" w:cs="黑体"/>
          <w:i w:val="0"/>
          <w:iCs w:val="0"/>
          <w:caps w:val="0"/>
          <w:color w:val="333333"/>
          <w:spacing w:val="0"/>
          <w:sz w:val="32"/>
          <w:szCs w:val="32"/>
          <w:shd w:val="clear" w:fill="FFFFFF"/>
        </w:rPr>
        <w:t>抵（质）押物</w:t>
      </w:r>
      <w:r>
        <w:rPr>
          <w:rFonts w:hint="eastAsia" w:ascii="黑体" w:hAnsi="黑体" w:eastAsia="黑体" w:cs="黑体"/>
          <w:i w:val="0"/>
          <w:iCs w:val="0"/>
          <w:caps w:val="0"/>
          <w:color w:val="333333"/>
          <w:spacing w:val="0"/>
          <w:sz w:val="32"/>
          <w:szCs w:val="32"/>
          <w:shd w:val="clear" w:fill="FFFFFF"/>
          <w:lang w:val="en-US" w:eastAsia="zh-CN"/>
        </w:rPr>
        <w:t>范围</w:t>
      </w:r>
      <w:r>
        <w:rPr>
          <w:rFonts w:hint="eastAsia" w:ascii="黑体" w:hAnsi="黑体" w:eastAsia="黑体" w:cs="黑体"/>
          <w:i w:val="0"/>
          <w:iCs w:val="0"/>
          <w:caps w:val="0"/>
          <w:color w:val="333333"/>
          <w:spacing w:val="0"/>
          <w:sz w:val="32"/>
          <w:szCs w:val="32"/>
          <w:shd w:val="clear" w:fill="FFFFFF"/>
        </w:rPr>
        <w:t>。</w:t>
      </w:r>
      <w:r>
        <w:rPr>
          <w:rFonts w:hint="eastAsia" w:ascii="仿宋_GB2312" w:hAnsi="仿宋_GB2312" w:eastAsia="仿宋_GB2312" w:cs="仿宋_GB2312"/>
          <w:sz w:val="32"/>
          <w:szCs w:val="32"/>
          <w:lang w:val="en-US" w:eastAsia="zh-CN"/>
        </w:rPr>
        <w:t>鼓励金融机构开展将企业知识产权、应收账款、承包经营权、股权、设备等动产纳入抵（质）押物登记范围的业务，盘活企业无形资产，切实帮助企业提高融资能力。</w:t>
      </w:r>
      <w:r>
        <w:rPr>
          <w:rFonts w:hint="eastAsia" w:ascii="楷体_GB2312" w:hAnsi="楷体_GB2312" w:eastAsia="楷体_GB2312" w:cs="楷体_GB2312"/>
          <w:sz w:val="32"/>
          <w:szCs w:val="32"/>
          <w:lang w:val="en-US" w:eastAsia="zh-CN"/>
        </w:rPr>
        <w:t>（责任单位：市市场监管局，辖区银行机构）</w:t>
      </w:r>
      <w:r>
        <w:rPr>
          <w:rFonts w:hint="eastAsia" w:ascii="仿宋_GB2312" w:hAnsi="仿宋_GB2312" w:eastAsia="仿宋_GB2312" w:cs="仿宋_GB2312"/>
          <w:sz w:val="32"/>
          <w:szCs w:val="32"/>
          <w:lang w:val="en-US" w:eastAsia="zh-CN"/>
        </w:rPr>
        <w:t>企业融资时以动产作为抵（质）押物，银行不得拒绝。</w:t>
      </w:r>
      <w:r>
        <w:rPr>
          <w:rFonts w:hint="eastAsia" w:ascii="楷体_GB2312" w:hAnsi="楷体_GB2312" w:eastAsia="楷体_GB2312" w:cs="楷体_GB2312"/>
          <w:sz w:val="32"/>
          <w:szCs w:val="32"/>
          <w:lang w:val="en-US" w:eastAsia="zh-CN"/>
        </w:rPr>
        <w:t>（责任单位：辖区银行机构）</w:t>
      </w:r>
    </w:p>
    <w:p>
      <w:pPr>
        <w:pStyle w:val="4"/>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default" w:ascii="楷体_GB2312" w:hAnsi="楷体_GB2312" w:eastAsia="楷体_GB2312" w:cs="楷体_GB2312"/>
          <w:sz w:val="32"/>
          <w:szCs w:val="32"/>
          <w:lang w:val="en-US" w:eastAsia="zh-CN"/>
        </w:rPr>
      </w:pPr>
      <w:r>
        <w:rPr>
          <w:rFonts w:hint="eastAsia" w:ascii="黑体" w:hAnsi="黑体" w:eastAsia="黑体" w:cs="黑体"/>
          <w:sz w:val="32"/>
          <w:szCs w:val="32"/>
          <w:lang w:val="en-US" w:eastAsia="zh-CN"/>
        </w:rPr>
        <w:t>四、做强要素平台服务功能。</w:t>
      </w:r>
      <w:r>
        <w:rPr>
          <w:rFonts w:hint="eastAsia" w:ascii="仿宋_GB2312" w:hAnsi="仿宋_GB2312" w:eastAsia="仿宋_GB2312" w:cs="仿宋_GB2312"/>
          <w:sz w:val="32"/>
          <w:szCs w:val="32"/>
          <w:lang w:val="en-US" w:eastAsia="zh-CN"/>
        </w:rPr>
        <w:t>探索实施投贷联动模式，鼓励产业基金与金融机构联合开展企业评估，互动式解决企业融资需求。</w:t>
      </w:r>
      <w:r>
        <w:rPr>
          <w:rFonts w:hint="eastAsia" w:ascii="楷体_GB2312" w:hAnsi="楷体_GB2312" w:eastAsia="楷体_GB2312" w:cs="楷体_GB2312"/>
          <w:sz w:val="32"/>
          <w:szCs w:val="32"/>
          <w:lang w:val="en-US" w:eastAsia="zh-CN"/>
        </w:rPr>
        <w:t>（责任单位：各产业基金管理公司，辖区银行机构）</w:t>
      </w:r>
      <w:r>
        <w:rPr>
          <w:rFonts w:hint="eastAsia" w:ascii="仿宋_GB2312" w:hAnsi="仿宋_GB2312" w:eastAsia="仿宋_GB2312" w:cs="仿宋_GB2312"/>
          <w:sz w:val="32"/>
          <w:szCs w:val="32"/>
          <w:lang w:val="en-US" w:eastAsia="zh-CN"/>
        </w:rPr>
        <w:t>鼓励辖区各融资担保公司拓展业务，扩大担保物范围，充分利用已抵押物的剩余价值作为担保物，为企业提供担保，协调金融机构增加贷款投放。</w:t>
      </w:r>
      <w:r>
        <w:rPr>
          <w:rFonts w:hint="eastAsia" w:ascii="楷体_GB2312" w:hAnsi="楷体_GB2312" w:eastAsia="楷体_GB2312" w:cs="楷体_GB2312"/>
          <w:sz w:val="32"/>
          <w:szCs w:val="32"/>
          <w:lang w:val="en-US" w:eastAsia="zh-CN"/>
        </w:rPr>
        <w:t>（责任单位：各融资担保公司，辖区银行机构）</w:t>
      </w:r>
      <w:r>
        <w:rPr>
          <w:rFonts w:hint="eastAsia" w:ascii="仿宋_GB2312" w:hAnsi="仿宋_GB2312" w:eastAsia="仿宋_GB2312" w:cs="仿宋_GB2312"/>
          <w:sz w:val="32"/>
          <w:szCs w:val="32"/>
          <w:lang w:val="en-US" w:eastAsia="zh-CN"/>
        </w:rPr>
        <w:t>发挥应急转贷公司功能，为中小企业提供过桥资金，实现转贷续贷。</w:t>
      </w:r>
      <w:r>
        <w:rPr>
          <w:rFonts w:hint="eastAsia" w:ascii="楷体_GB2312" w:hAnsi="楷体_GB2312" w:eastAsia="楷体_GB2312" w:cs="楷体_GB2312"/>
          <w:sz w:val="32"/>
          <w:szCs w:val="32"/>
          <w:lang w:val="en-US" w:eastAsia="zh-CN"/>
        </w:rPr>
        <w:t>（责任单位：各应急转贷公司，辖区银行机构）</w:t>
      </w:r>
    </w:p>
    <w:p>
      <w:pPr>
        <w:pStyle w:val="4"/>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default" w:ascii="楷体_GB2312" w:hAnsi="楷体_GB2312" w:eastAsia="楷体_GB2312" w:cs="楷体_GB2312"/>
          <w:sz w:val="32"/>
          <w:szCs w:val="32"/>
          <w:lang w:val="en-US" w:eastAsia="zh-CN"/>
        </w:rPr>
      </w:pPr>
      <w:r>
        <w:rPr>
          <w:rFonts w:hint="eastAsia" w:ascii="黑体" w:hAnsi="黑体" w:eastAsia="黑体" w:cs="黑体"/>
          <w:sz w:val="32"/>
          <w:szCs w:val="32"/>
          <w:lang w:val="en-US" w:eastAsia="zh-CN"/>
        </w:rPr>
        <w:t>五、加大信用类贷款投放。</w:t>
      </w:r>
      <w:r>
        <w:rPr>
          <w:rFonts w:hint="eastAsia" w:ascii="仿宋_GB2312" w:hAnsi="仿宋_GB2312" w:eastAsia="仿宋_GB2312" w:cs="仿宋_GB2312"/>
          <w:sz w:val="32"/>
          <w:szCs w:val="32"/>
          <w:lang w:val="en-US" w:eastAsia="zh-CN"/>
        </w:rPr>
        <w:t>探索扩大信用类融资投放手段，重点支持主板上市企业、新三板企业增加纯信用贷款授信投放，支持加大对齐鲁股权交易中心等四板挂牌企业的授信额度。利用好科技贷、人才贷等各类金融产品，加大对科技型企业、人才型企业的信贷投放力度，最大化发挥好特色金融产品效益。</w:t>
      </w:r>
      <w:r>
        <w:rPr>
          <w:rFonts w:hint="eastAsia" w:ascii="楷体_GB2312" w:hAnsi="楷体_GB2312" w:eastAsia="楷体_GB2312" w:cs="楷体_GB2312"/>
          <w:sz w:val="32"/>
          <w:szCs w:val="32"/>
          <w:lang w:val="en-US" w:eastAsia="zh-CN"/>
        </w:rPr>
        <w:t>（责任单位：各应急转贷公司，辖区银行机构）</w:t>
      </w:r>
    </w:p>
    <w:p>
      <w:pPr>
        <w:pStyle w:val="4"/>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eastAsia" w:ascii="楷体_GB2312" w:hAnsi="楷体_GB2312" w:eastAsia="楷体_GB2312" w:cs="楷体_GB2312"/>
          <w:sz w:val="32"/>
          <w:szCs w:val="32"/>
          <w:lang w:val="en-US" w:eastAsia="zh-CN"/>
        </w:rPr>
      </w:pPr>
      <w:r>
        <w:rPr>
          <w:rFonts w:hint="eastAsia" w:ascii="黑体" w:hAnsi="黑体" w:eastAsia="黑体" w:cs="黑体"/>
          <w:sz w:val="32"/>
          <w:szCs w:val="32"/>
          <w:lang w:val="en-US" w:eastAsia="zh-CN"/>
        </w:rPr>
        <w:t>六、明确重点支持范围。</w:t>
      </w:r>
      <w:r>
        <w:rPr>
          <w:rFonts w:hint="eastAsia" w:ascii="仿宋_GB2312" w:hAnsi="仿宋_GB2312" w:eastAsia="仿宋_GB2312" w:cs="仿宋_GB2312"/>
          <w:sz w:val="32"/>
          <w:szCs w:val="32"/>
          <w:lang w:val="en-US" w:eastAsia="zh-CN"/>
        </w:rPr>
        <w:t>鼓励银行金融机构重点支持省、枣庄市及我市重点投资项目，重点支持“两高四新”等先进制造业企业。依据亩均效益分类评级系统，对A类重点企业定期推送银行机构给予优先支持。</w:t>
      </w:r>
      <w:r>
        <w:rPr>
          <w:rFonts w:hint="eastAsia" w:ascii="楷体_GB2312" w:hAnsi="楷体_GB2312" w:eastAsia="楷体_GB2312" w:cs="楷体_GB2312"/>
          <w:sz w:val="32"/>
          <w:szCs w:val="32"/>
          <w:lang w:val="en-US" w:eastAsia="zh-CN"/>
        </w:rPr>
        <w:t>（责任单位：市工信局、市金融服务中心）</w:t>
      </w:r>
    </w:p>
    <w:p>
      <w:pPr>
        <w:pStyle w:val="4"/>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eastAsia" w:ascii="楷体_GB2312" w:hAnsi="楷体_GB2312" w:eastAsia="楷体_GB2312" w:cs="楷体_GB2312"/>
          <w:sz w:val="32"/>
          <w:szCs w:val="32"/>
          <w:lang w:val="en-US" w:eastAsia="zh-CN"/>
        </w:rPr>
      </w:pPr>
      <w:r>
        <w:rPr>
          <w:rFonts w:hint="eastAsia" w:ascii="黑体" w:hAnsi="黑体" w:eastAsia="黑体" w:cs="黑体"/>
          <w:sz w:val="32"/>
          <w:szCs w:val="32"/>
          <w:lang w:val="en-US" w:eastAsia="zh-CN"/>
        </w:rPr>
        <w:t>七、强化激励考核措施。</w:t>
      </w:r>
      <w:r>
        <w:rPr>
          <w:rFonts w:hint="eastAsia" w:ascii="仿宋_GB2312" w:hAnsi="仿宋_GB2312" w:eastAsia="仿宋_GB2312" w:cs="仿宋_GB2312"/>
          <w:sz w:val="32"/>
          <w:szCs w:val="32"/>
          <w:lang w:val="en-US" w:eastAsia="zh-CN"/>
        </w:rPr>
        <w:t>将银行金融机构提高企业土地评估价值和抵押率、扩大企业抵押担保范围的实绩，作为银行金融机构绩效评价的加分项，激发金融部门活力。将绩效评价结果作为财政性资金竞争性存放的重要参考，依据结果定期调整财政性存款存放，做到存款规模与贡献额度相匹配。</w:t>
      </w:r>
      <w:r>
        <w:rPr>
          <w:rFonts w:hint="eastAsia" w:ascii="楷体_GB2312" w:hAnsi="楷体_GB2312" w:eastAsia="楷体_GB2312" w:cs="楷体_GB2312"/>
          <w:sz w:val="32"/>
          <w:szCs w:val="32"/>
          <w:lang w:val="en-US" w:eastAsia="zh-CN"/>
        </w:rPr>
        <w:t>（责任单位：市财政局，市金融服务中心）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楷体_GB2312" w:hAnsi="楷体_GB2312" w:eastAsia="楷体_GB2312" w:cs="楷体_GB2312"/>
          <w:sz w:val="32"/>
          <w:szCs w:val="32"/>
          <w:lang w:val="en-US" w:eastAsia="zh-CN"/>
        </w:rPr>
      </w:pPr>
      <w:r>
        <w:rPr>
          <w:rFonts w:hint="eastAsia" w:ascii="黑体" w:hAnsi="黑体" w:eastAsia="黑体" w:cs="黑体"/>
          <w:i w:val="0"/>
          <w:iCs w:val="0"/>
          <w:caps w:val="0"/>
          <w:color w:val="333333"/>
          <w:spacing w:val="0"/>
          <w:sz w:val="32"/>
          <w:szCs w:val="32"/>
          <w:shd w:val="clear" w:fill="FFFFFF"/>
          <w:lang w:val="en-US" w:eastAsia="zh-CN"/>
        </w:rPr>
        <w:t>八、</w:t>
      </w:r>
      <w:r>
        <w:rPr>
          <w:rFonts w:hint="eastAsia" w:ascii="黑体" w:hAnsi="黑体" w:eastAsia="黑体" w:cs="黑体"/>
          <w:i w:val="0"/>
          <w:iCs w:val="0"/>
          <w:caps w:val="0"/>
          <w:color w:val="333333"/>
          <w:spacing w:val="0"/>
          <w:sz w:val="32"/>
          <w:szCs w:val="32"/>
          <w:shd w:val="clear" w:fill="FFFFFF"/>
        </w:rPr>
        <w:t>建立协调联动机制。</w:t>
      </w:r>
      <w:r>
        <w:rPr>
          <w:rFonts w:hint="eastAsia" w:ascii="仿宋_GB2312" w:hAnsi="仿宋_GB2312" w:eastAsia="仿宋_GB2312" w:cs="仿宋_GB2312"/>
          <w:sz w:val="32"/>
          <w:szCs w:val="32"/>
          <w:lang w:val="en-US" w:eastAsia="zh-CN"/>
        </w:rPr>
        <w:t>成立市政府主要领导为组长、分管领导为副组长的金融纾困服务专班，有关部门各负其责，定期召开联席会议，对政策落实和企业融资过程中遇到的困难问题，及时发现，立即解决。</w:t>
      </w:r>
      <w:r>
        <w:rPr>
          <w:rFonts w:hint="eastAsia" w:ascii="楷体_GB2312" w:hAnsi="楷体_GB2312" w:eastAsia="楷体_GB2312" w:cs="楷体_GB2312"/>
          <w:sz w:val="32"/>
          <w:szCs w:val="32"/>
          <w:lang w:val="en-US" w:eastAsia="zh-CN"/>
        </w:rPr>
        <w:t>（责任单位：市工信局、市财政局、市自然资源局、市市场监管局、市金融服务中心、人民银行滕州支行等）</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firstLine="616"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b w:val="0"/>
          <w:bCs w:val="0"/>
          <w:spacing w:val="-6"/>
          <w:sz w:val="32"/>
          <w:szCs w:val="32"/>
        </w:rPr>
        <w:t>本办法自</w:t>
      </w:r>
      <w:r>
        <w:rPr>
          <w:rFonts w:hint="eastAsia" w:ascii="仿宋_GB2312" w:hAnsi="仿宋_GB2312" w:eastAsia="仿宋_GB2312"/>
          <w:b w:val="0"/>
          <w:bCs w:val="0"/>
          <w:spacing w:val="-6"/>
          <w:sz w:val="32"/>
          <w:szCs w:val="32"/>
          <w:lang w:val="en-US" w:eastAsia="zh-CN"/>
        </w:rPr>
        <w:t>2021年9月26日起试行</w:t>
      </w:r>
      <w:r>
        <w:rPr>
          <w:rFonts w:hint="eastAsia" w:ascii="仿宋_GB2312" w:hAnsi="仿宋_GB2312" w:eastAsia="仿宋_GB2312"/>
          <w:b w:val="0"/>
          <w:bCs w:val="0"/>
          <w:spacing w:val="-6"/>
          <w:sz w:val="32"/>
          <w:szCs w:val="32"/>
        </w:rPr>
        <w:t>，</w:t>
      </w:r>
      <w:r>
        <w:rPr>
          <w:rFonts w:hint="eastAsia" w:ascii="仿宋_GB2312" w:hAnsi="仿宋_GB2312" w:eastAsia="仿宋_GB2312"/>
          <w:b w:val="0"/>
          <w:bCs w:val="0"/>
          <w:spacing w:val="-6"/>
          <w:sz w:val="32"/>
          <w:szCs w:val="32"/>
          <w:lang w:val="en-US" w:eastAsia="zh-CN"/>
        </w:rPr>
        <w:t>到2023年9月25日止，试行期两年，期满经评估完善后正式发布施行。</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方正小标宋简体" w:hAnsi="方正小标宋简体" w:eastAsia="方正小标宋简体" w:cs="方正小标宋简体"/>
          <w:b w:val="0"/>
          <w:bCs/>
          <w:sz w:val="44"/>
          <w:szCs w:val="44"/>
        </w:rPr>
      </w:pPr>
      <w:r>
        <w:rPr>
          <w:rFonts w:hint="eastAsia" w:ascii="仿宋_GB2312" w:hAnsi="仿宋_GB2312" w:eastAsia="仿宋_GB2312" w:cs="仿宋_GB2312"/>
          <w:sz w:val="32"/>
          <w:szCs w:val="32"/>
          <w:lang w:val="en-US" w:eastAsia="zh-CN"/>
        </w:rPr>
        <w:t>附</w:t>
      </w:r>
      <w:r>
        <w:rPr>
          <w:rFonts w:hint="eastAsia" w:ascii="仿宋_GB2312" w:hAnsi="仿宋_GB2312" w:eastAsia="仿宋_GB2312" w:cs="仿宋_GB2312"/>
          <w:kern w:val="0"/>
          <w:sz w:val="32"/>
          <w:szCs w:val="32"/>
          <w:lang w:val="en-US" w:eastAsia="zh-CN" w:bidi="ar"/>
        </w:rPr>
        <w:t>件：城区工业用地抵押融资评估综合指导价</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_GB2312" w:hAnsi="仿宋_GB2312" w:eastAsia="仿宋_GB2312" w:cs="仿宋_GB2312"/>
          <w:sz w:val="32"/>
          <w:szCs w:val="32"/>
          <w:lang w:val="en-US" w:eastAsia="zh-CN"/>
        </w:rPr>
      </w:pP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滕州市人民政府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firstLineChars="200"/>
        <w:jc w:val="right"/>
        <w:textAlignment w:val="auto"/>
        <w:rPr>
          <w:rFonts w:hint="eastAsia" w:ascii="仿宋_GB2312" w:hAnsi="仿宋_GB2312" w:eastAsia="仿宋_GB2312" w:cs="仿宋_GB2312"/>
          <w:i w:val="0"/>
          <w:iCs w:val="0"/>
          <w:caps w:val="0"/>
          <w:color w:val="333333"/>
          <w:spacing w:val="0"/>
          <w:sz w:val="32"/>
          <w:szCs w:val="32"/>
          <w:shd w:val="clear" w:fill="FFFFFF"/>
          <w:lang w:val="en-US" w:eastAsia="zh-CN"/>
        </w:rPr>
      </w:pPr>
      <w:r>
        <w:rPr>
          <w:rFonts w:hint="eastAsia" w:ascii="仿宋_GB2312" w:hAnsi="仿宋_GB2312" w:eastAsia="仿宋_GB2312" w:cs="仿宋_GB2312"/>
          <w:sz w:val="32"/>
          <w:szCs w:val="32"/>
          <w:lang w:val="en-US" w:eastAsia="zh-CN"/>
        </w:rPr>
        <w:t xml:space="preserve">2021年9月26日 </w:t>
      </w:r>
      <w:r>
        <w:rPr>
          <w:rFonts w:hint="eastAsia" w:ascii="仿宋_GB2312" w:hAnsi="仿宋_GB2312" w:eastAsia="仿宋_GB2312" w:cs="仿宋_GB2312"/>
          <w:i w:val="0"/>
          <w:iCs w:val="0"/>
          <w:caps w:val="0"/>
          <w:color w:val="333333"/>
          <w:spacing w:val="0"/>
          <w:sz w:val="32"/>
          <w:szCs w:val="32"/>
          <w:shd w:val="clear" w:fill="FFFFFF"/>
          <w:lang w:val="en-US" w:eastAsia="zh-CN"/>
        </w:rPr>
        <w:t xml:space="preserve"> </w:t>
      </w:r>
    </w:p>
    <w:p>
      <w:pPr>
        <w:jc w:val="left"/>
        <w:rPr>
          <w:rFonts w:hint="eastAsia" w:ascii="黑体" w:hAnsi="黑体" w:eastAsia="黑体"/>
          <w:sz w:val="32"/>
          <w:szCs w:val="32"/>
        </w:rPr>
      </w:pPr>
    </w:p>
    <w:p>
      <w:pPr>
        <w:jc w:val="left"/>
        <w:rPr>
          <w:rFonts w:hint="eastAsia" w:ascii="黑体" w:hAnsi="黑体" w:eastAsia="黑体"/>
          <w:sz w:val="32"/>
          <w:szCs w:val="32"/>
        </w:rPr>
      </w:pPr>
    </w:p>
    <w:p>
      <w:pPr>
        <w:jc w:val="left"/>
        <w:rPr>
          <w:rFonts w:hint="eastAsia" w:ascii="黑体" w:hAnsi="黑体" w:eastAsia="黑体"/>
          <w:sz w:val="32"/>
          <w:szCs w:val="32"/>
        </w:rPr>
      </w:pPr>
      <w:r>
        <w:rPr>
          <w:rFonts w:hint="eastAsia" w:ascii="黑体" w:hAnsi="黑体" w:eastAsia="黑体"/>
          <w:sz w:val="32"/>
          <w:szCs w:val="32"/>
        </w:rPr>
        <w:t>附件</w:t>
      </w:r>
    </w:p>
    <w:p>
      <w:pPr>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城区</w:t>
      </w:r>
      <w:r>
        <w:rPr>
          <w:rFonts w:hint="eastAsia" w:ascii="方正小标宋简体" w:hAnsi="方正小标宋简体" w:eastAsia="方正小标宋简体" w:cs="方正小标宋简体"/>
          <w:b w:val="0"/>
          <w:bCs/>
          <w:sz w:val="44"/>
          <w:szCs w:val="44"/>
          <w:lang w:val="en-US" w:eastAsia="zh-CN"/>
        </w:rPr>
        <w:t>工业用地抵押融资评估综合指导价</w:t>
      </w:r>
    </w:p>
    <w:p>
      <w:pPr>
        <w:jc w:val="right"/>
        <w:rPr>
          <w:rFonts w:hint="eastAsia" w:ascii="楷体" w:hAnsi="楷体" w:eastAsia="楷体"/>
          <w:sz w:val="32"/>
          <w:szCs w:val="32"/>
        </w:rPr>
      </w:pPr>
      <w:r>
        <w:rPr>
          <w:rFonts w:hint="eastAsia" w:ascii="楷体" w:hAnsi="楷体" w:eastAsia="楷体"/>
          <w:sz w:val="32"/>
          <w:szCs w:val="32"/>
        </w:rPr>
        <w:t>单位：万元/亩</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9"/>
        <w:gridCol w:w="1730"/>
        <w:gridCol w:w="1730"/>
        <w:gridCol w:w="17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2839" w:type="dxa"/>
            <w:noWrap w:val="0"/>
            <w:vAlign w:val="center"/>
          </w:tcPr>
          <w:p>
            <w:pPr>
              <w:jc w:val="center"/>
              <w:rPr>
                <w:rFonts w:ascii="黑体" w:hAnsi="黑体" w:eastAsia="黑体"/>
                <w:sz w:val="32"/>
                <w:szCs w:val="32"/>
              </w:rPr>
            </w:pPr>
            <w:r>
              <w:rPr>
                <w:rFonts w:hint="eastAsia" w:ascii="黑体" w:hAnsi="黑体" w:eastAsia="黑体"/>
                <w:sz w:val="32"/>
                <w:szCs w:val="32"/>
              </w:rPr>
              <w:t>项目</w:t>
            </w:r>
          </w:p>
        </w:tc>
        <w:tc>
          <w:tcPr>
            <w:tcW w:w="1730" w:type="dxa"/>
            <w:noWrap w:val="0"/>
            <w:vAlign w:val="center"/>
          </w:tcPr>
          <w:p>
            <w:pPr>
              <w:jc w:val="center"/>
              <w:rPr>
                <w:rFonts w:ascii="黑体" w:hAnsi="黑体" w:eastAsia="黑体"/>
                <w:sz w:val="32"/>
                <w:szCs w:val="32"/>
              </w:rPr>
            </w:pPr>
            <w:r>
              <w:rPr>
                <w:rFonts w:hint="eastAsia" w:ascii="黑体" w:hAnsi="黑体" w:eastAsia="黑体"/>
                <w:sz w:val="32"/>
                <w:szCs w:val="32"/>
              </w:rPr>
              <w:t>一级</w:t>
            </w:r>
          </w:p>
        </w:tc>
        <w:tc>
          <w:tcPr>
            <w:tcW w:w="1730" w:type="dxa"/>
            <w:noWrap w:val="0"/>
            <w:vAlign w:val="center"/>
          </w:tcPr>
          <w:p>
            <w:pPr>
              <w:jc w:val="center"/>
              <w:rPr>
                <w:rFonts w:ascii="黑体" w:hAnsi="黑体" w:eastAsia="黑体"/>
                <w:sz w:val="32"/>
                <w:szCs w:val="32"/>
              </w:rPr>
            </w:pPr>
            <w:r>
              <w:rPr>
                <w:rFonts w:hint="eastAsia" w:ascii="黑体" w:hAnsi="黑体" w:eastAsia="黑体"/>
                <w:sz w:val="32"/>
                <w:szCs w:val="32"/>
              </w:rPr>
              <w:t>二级</w:t>
            </w:r>
          </w:p>
        </w:tc>
        <w:tc>
          <w:tcPr>
            <w:tcW w:w="1730" w:type="dxa"/>
            <w:noWrap w:val="0"/>
            <w:vAlign w:val="center"/>
          </w:tcPr>
          <w:p>
            <w:pPr>
              <w:jc w:val="center"/>
              <w:rPr>
                <w:rFonts w:ascii="黑体" w:hAnsi="黑体" w:eastAsia="黑体"/>
                <w:sz w:val="32"/>
                <w:szCs w:val="32"/>
              </w:rPr>
            </w:pPr>
            <w:r>
              <w:rPr>
                <w:rFonts w:hint="eastAsia" w:ascii="黑体" w:hAnsi="黑体" w:eastAsia="黑体"/>
                <w:sz w:val="32"/>
                <w:szCs w:val="32"/>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2839" w:type="dxa"/>
            <w:noWrap w:val="0"/>
            <w:vAlign w:val="center"/>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基准地价</w:t>
            </w:r>
          </w:p>
        </w:tc>
        <w:tc>
          <w:tcPr>
            <w:tcW w:w="1730" w:type="dxa"/>
            <w:noWrap w:val="0"/>
            <w:vAlign w:val="center"/>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30</w:t>
            </w:r>
          </w:p>
        </w:tc>
        <w:tc>
          <w:tcPr>
            <w:tcW w:w="1730" w:type="dxa"/>
            <w:noWrap w:val="0"/>
            <w:vAlign w:val="center"/>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w:t>
            </w:r>
          </w:p>
        </w:tc>
        <w:tc>
          <w:tcPr>
            <w:tcW w:w="1730" w:type="dxa"/>
            <w:noWrap w:val="0"/>
            <w:vAlign w:val="center"/>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2839" w:type="dxa"/>
            <w:noWrap w:val="0"/>
            <w:vAlign w:val="center"/>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耕地占用税</w:t>
            </w:r>
          </w:p>
        </w:tc>
        <w:tc>
          <w:tcPr>
            <w:tcW w:w="1730" w:type="dxa"/>
            <w:noWrap w:val="0"/>
            <w:vAlign w:val="center"/>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p>
        </w:tc>
        <w:tc>
          <w:tcPr>
            <w:tcW w:w="1730" w:type="dxa"/>
            <w:noWrap w:val="0"/>
            <w:vAlign w:val="center"/>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p>
        </w:tc>
        <w:tc>
          <w:tcPr>
            <w:tcW w:w="1730" w:type="dxa"/>
            <w:noWrap w:val="0"/>
            <w:vAlign w:val="center"/>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2839" w:type="dxa"/>
            <w:noWrap w:val="0"/>
            <w:vAlign w:val="center"/>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土地指标</w:t>
            </w:r>
          </w:p>
        </w:tc>
        <w:tc>
          <w:tcPr>
            <w:tcW w:w="1730" w:type="dxa"/>
            <w:noWrap w:val="0"/>
            <w:vAlign w:val="center"/>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30</w:t>
            </w:r>
          </w:p>
        </w:tc>
        <w:tc>
          <w:tcPr>
            <w:tcW w:w="1730" w:type="dxa"/>
            <w:noWrap w:val="0"/>
            <w:vAlign w:val="center"/>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30</w:t>
            </w:r>
          </w:p>
        </w:tc>
        <w:tc>
          <w:tcPr>
            <w:tcW w:w="1730" w:type="dxa"/>
            <w:noWrap w:val="0"/>
            <w:vAlign w:val="center"/>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2839" w:type="dxa"/>
            <w:noWrap w:val="0"/>
            <w:vAlign w:val="center"/>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耕地开垦费</w:t>
            </w:r>
          </w:p>
        </w:tc>
        <w:tc>
          <w:tcPr>
            <w:tcW w:w="1730" w:type="dxa"/>
            <w:noWrap w:val="0"/>
            <w:vAlign w:val="center"/>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p>
        </w:tc>
        <w:tc>
          <w:tcPr>
            <w:tcW w:w="1730" w:type="dxa"/>
            <w:noWrap w:val="0"/>
            <w:vAlign w:val="center"/>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p>
        </w:tc>
        <w:tc>
          <w:tcPr>
            <w:tcW w:w="1730" w:type="dxa"/>
            <w:noWrap w:val="0"/>
            <w:vAlign w:val="center"/>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2839" w:type="dxa"/>
            <w:noWrap w:val="0"/>
            <w:vAlign w:val="center"/>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合计</w:t>
            </w:r>
          </w:p>
        </w:tc>
        <w:tc>
          <w:tcPr>
            <w:tcW w:w="1730" w:type="dxa"/>
            <w:noWrap w:val="0"/>
            <w:vAlign w:val="center"/>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67</w:t>
            </w:r>
          </w:p>
        </w:tc>
        <w:tc>
          <w:tcPr>
            <w:tcW w:w="1730" w:type="dxa"/>
            <w:noWrap w:val="0"/>
            <w:vAlign w:val="center"/>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63</w:t>
            </w:r>
          </w:p>
        </w:tc>
        <w:tc>
          <w:tcPr>
            <w:tcW w:w="1730" w:type="dxa"/>
            <w:noWrap w:val="0"/>
            <w:vAlign w:val="center"/>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w:t>
            </w:r>
          </w:p>
        </w:tc>
      </w:tr>
    </w:tbl>
    <w:p>
      <w:pPr>
        <w:keepNext w:val="0"/>
        <w:keepLines w:val="0"/>
        <w:pageBreakBefore w:val="0"/>
        <w:widowControl w:val="0"/>
        <w:kinsoku/>
        <w:wordWrap/>
        <w:overflowPunct/>
        <w:topLinePunct w:val="0"/>
        <w:autoSpaceDE/>
        <w:autoSpaceDN/>
        <w:bidi w:val="0"/>
        <w:adjustRightInd/>
        <w:snapToGrid/>
        <w:spacing w:line="520" w:lineRule="exact"/>
        <w:ind w:left="1278" w:leftChars="304" w:hanging="640" w:hangingChars="200"/>
        <w:jc w:val="left"/>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备注：</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1.基准地价是指土地利用总规确定范围内，平均开发利用条件下，政府确定的土地区域平均价格。</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本城区</w:t>
      </w:r>
      <w:r>
        <w:rPr>
          <w:rFonts w:hint="eastAsia" w:ascii="仿宋_GB2312" w:hAnsi="仿宋_GB2312" w:eastAsia="仿宋_GB2312" w:cs="仿宋_GB2312"/>
          <w:b w:val="0"/>
          <w:bCs/>
          <w:sz w:val="32"/>
          <w:szCs w:val="32"/>
          <w:lang w:val="en-US" w:eastAsia="zh-CN"/>
        </w:rPr>
        <w:t>工业用地抵押融资评估综合指导价</w:t>
      </w:r>
      <w:r>
        <w:rPr>
          <w:rFonts w:hint="eastAsia" w:ascii="仿宋_GB2312" w:hAnsi="仿宋_GB2312" w:eastAsia="仿宋_GB2312" w:cs="仿宋_GB2312"/>
          <w:b w:val="0"/>
          <w:bCs/>
          <w:sz w:val="32"/>
          <w:szCs w:val="32"/>
        </w:rPr>
        <w:t>仅限于工业用地抵押评估使用。城区</w:t>
      </w:r>
      <w:r>
        <w:rPr>
          <w:rFonts w:hint="eastAsia" w:ascii="仿宋_GB2312" w:hAnsi="仿宋_GB2312" w:eastAsia="仿宋_GB2312" w:cs="仿宋_GB2312"/>
          <w:b w:val="0"/>
          <w:bCs/>
          <w:sz w:val="32"/>
          <w:szCs w:val="32"/>
          <w:lang w:val="en-US" w:eastAsia="zh-CN"/>
        </w:rPr>
        <w:t>外工业用地抵押融资评估综合指导价</w:t>
      </w:r>
      <w:r>
        <w:rPr>
          <w:rFonts w:hint="eastAsia" w:ascii="仿宋_GB2312" w:hAnsi="仿宋_GB2312" w:eastAsia="仿宋_GB2312" w:cs="仿宋_GB2312"/>
          <w:b w:val="0"/>
          <w:bCs/>
          <w:sz w:val="32"/>
          <w:szCs w:val="32"/>
        </w:rPr>
        <w:t>参照以上办法执行。</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b w:val="0"/>
          <w:bCs/>
          <w:sz w:val="32"/>
          <w:szCs w:val="32"/>
        </w:rPr>
      </w:pPr>
    </w:p>
    <w:p>
      <w:pPr>
        <w:spacing w:line="560" w:lineRule="exact"/>
        <w:rPr>
          <w:rFonts w:ascii="仿宋_GB2312" w:eastAsia="仿宋_GB2312"/>
          <w:sz w:val="32"/>
          <w:szCs w:val="32"/>
        </w:rPr>
      </w:pPr>
    </w:p>
    <w:p>
      <w:pPr>
        <w:spacing w:line="560" w:lineRule="exact"/>
        <w:rPr>
          <w:rFonts w:ascii="仿宋_GB2312" w:eastAsia="仿宋_GB2312"/>
          <w:sz w:val="32"/>
          <w:szCs w:val="32"/>
        </w:rPr>
      </w:pPr>
    </w:p>
    <w:p>
      <w:pPr>
        <w:widowControl/>
        <w:spacing w:line="200" w:lineRule="exact"/>
        <w:rPr>
          <w:rFonts w:ascii="黑体" w:eastAsia="黑体" w:cs="黑体"/>
          <w:color w:val="000000"/>
          <w:sz w:val="28"/>
          <w:szCs w:val="21"/>
        </w:rPr>
      </w:pPr>
    </w:p>
    <w:p>
      <w:pPr>
        <w:widowControl/>
        <w:spacing w:line="200" w:lineRule="exact"/>
        <w:rPr>
          <w:rFonts w:ascii="黑体" w:eastAsia="黑体" w:cs="黑体"/>
          <w:color w:val="000000"/>
          <w:sz w:val="28"/>
          <w:szCs w:val="21"/>
        </w:rPr>
      </w:pPr>
      <w:r>
        <w:rPr>
          <w:rFonts w:eastAsia="宋体"/>
          <w:lang w:bidi="ar"/>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40640</wp:posOffset>
                </wp:positionV>
                <wp:extent cx="5400040" cy="25400"/>
                <wp:effectExtent l="0" t="9525" r="10160" b="22225"/>
                <wp:wrapNone/>
                <wp:docPr id="4" name="直接连接符 4"/>
                <wp:cNvGraphicFramePr/>
                <a:graphic xmlns:a="http://schemas.openxmlformats.org/drawingml/2006/main">
                  <a:graphicData uri="http://schemas.microsoft.com/office/word/2010/wordprocessingShape">
                    <wps:wsp>
                      <wps:cNvCnPr/>
                      <wps:spPr>
                        <a:xfrm>
                          <a:off x="0" y="0"/>
                          <a:ext cx="5400040" cy="25400"/>
                        </a:xfrm>
                        <a:prstGeom prst="line">
                          <a:avLst/>
                        </a:prstGeom>
                        <a:ln w="1905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3.2pt;height:2pt;width:425.2pt;z-index:251659264;mso-width-relative:page;mso-height-relative:page;" filled="f" stroked="t" coordsize="21600,21600" o:gfxdata="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Dnpw5zSAAAABQEAAA8AAAAAAAAA&#10;AQAgAAAAIgAAAGRycy9kb3ducmV2LnhtbFBLAQIUABQAAAAIAIdO4kACyD143gEAAKkDAAAOAAAA&#10;AAAAAAEAIAAAACEBAABkcnMvZTJvRG9jLnhtbFBLBQYAAAAABgAGAFkBAABxBQAAAAA=&#10;">
                <v:fill on="f" focussize="0,0"/>
                <v:stroke weight="1.5pt" color="#000000" joinstyle="round"/>
                <v:imagedata o:title=""/>
                <o:lock v:ext="edit" aspectratio="f"/>
              </v:line>
            </w:pict>
          </mc:Fallback>
        </mc:AlternateContent>
      </w:r>
    </w:p>
    <w:p>
      <w:pPr>
        <w:widowControl/>
        <w:spacing w:line="340" w:lineRule="exact"/>
        <w:jc w:val="left"/>
        <w:rPr>
          <w:rFonts w:ascii="仿宋_GB2312" w:eastAsia="仿宋_GB2312" w:cs="仿宋_GB2312"/>
          <w:color w:val="000000"/>
          <w:sz w:val="28"/>
          <w:szCs w:val="28"/>
        </w:rPr>
      </w:pPr>
      <w:r>
        <w:rPr>
          <w:rFonts w:hint="eastAsia" w:ascii="仿宋_GB2312" w:eastAsia="仿宋_GB2312" w:cs="仿宋_GB2312"/>
          <w:b/>
          <w:bCs/>
          <w:color w:val="000000"/>
          <w:sz w:val="28"/>
          <w:szCs w:val="28"/>
        </w:rPr>
        <w:t>抄送：</w:t>
      </w:r>
      <w:r>
        <w:rPr>
          <w:rFonts w:hint="eastAsia" w:ascii="仿宋_GB2312" w:eastAsia="仿宋_GB2312" w:cs="仿宋_GB2312"/>
          <w:color w:val="000000"/>
          <w:sz w:val="28"/>
          <w:szCs w:val="28"/>
        </w:rPr>
        <w:t>市委有关部门，市人大常委会办公室，市政协办公室，</w:t>
      </w:r>
      <w:r>
        <w:rPr>
          <w:rFonts w:hint="eastAsia" w:ascii="仿宋_GB2312" w:eastAsia="仿宋_GB2312" w:cs="仿宋_GB2312"/>
          <w:sz w:val="28"/>
          <w:szCs w:val="28"/>
        </w:rPr>
        <w:t>市监察委，</w:t>
      </w:r>
      <w:r>
        <w:rPr>
          <w:rFonts w:hint="eastAsia" w:ascii="仿宋_GB2312" w:eastAsia="仿宋_GB2312" w:cs="仿宋_GB2312"/>
          <w:color w:val="000000"/>
          <w:sz w:val="28"/>
          <w:szCs w:val="28"/>
        </w:rPr>
        <w:t>市法院，市检察院，市人武部。</w:t>
      </w:r>
    </w:p>
    <w:p>
      <w:pPr>
        <w:widowControl/>
        <w:spacing w:line="240" w:lineRule="exact"/>
        <w:ind w:right="29" w:rightChars="14" w:firstLine="560"/>
        <w:rPr>
          <w:rFonts w:ascii="仿宋_GB2312" w:eastAsia="仿宋_GB2312" w:cs="仿宋_GB2312"/>
          <w:color w:val="000000"/>
          <w:sz w:val="28"/>
          <w:szCs w:val="28"/>
        </w:rPr>
      </w:pPr>
      <w:r>
        <w:rPr>
          <w:rFonts w:eastAsia="宋体"/>
          <w:lang w:bidi="ar"/>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76200</wp:posOffset>
                </wp:positionV>
                <wp:extent cx="5400040" cy="0"/>
                <wp:effectExtent l="0" t="0" r="0" b="0"/>
                <wp:wrapNone/>
                <wp:docPr id="6" name="直接连接符 6"/>
                <wp:cNvGraphicFramePr/>
                <a:graphic xmlns:a="http://schemas.openxmlformats.org/drawingml/2006/main">
                  <a:graphicData uri="http://schemas.microsoft.com/office/word/2010/wordprocessingShape">
                    <wps:wsp>
                      <wps:cNvCnPr/>
                      <wps:spPr>
                        <a:xfrm>
                          <a:off x="0" y="0"/>
                          <a:ext cx="540004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6pt;height:0pt;width:425.2pt;z-index:251660288;mso-width-relative:page;mso-height-relative:page;" filled="f" stroked="t" coordsize="21600,21600" o:gfxdata="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C/IcEHUAAAABgEAAA8AAAAA&#10;AAAAAQAgAAAAIgAAAGRycy9kb3ducmV2LnhtbFBLAQIUABQAAAAIAIdO4kDwBkXv3wEAAKQDAAAO&#10;AAAAAAAAAAEAIAAAACMBAABkcnMvZTJvRG9jLnhtbFBLBQYAAAAABgAGAFkBAAB0BQAAAAA=&#10;">
                <v:fill on="f" focussize="0,0"/>
                <v:stroke color="#000000" joinstyle="round"/>
                <v:imagedata o:title=""/>
                <o:lock v:ext="edit" aspectratio="f"/>
              </v:line>
            </w:pict>
          </mc:Fallback>
        </mc:AlternateContent>
      </w:r>
    </w:p>
    <w:p>
      <w:pPr>
        <w:widowControl/>
        <w:spacing w:line="340" w:lineRule="exact"/>
      </w:pPr>
      <w:r>
        <w:rPr>
          <w:rFonts w:eastAsia="宋体"/>
          <w:lang w:bidi="ar"/>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251460</wp:posOffset>
                </wp:positionV>
                <wp:extent cx="5400040" cy="7620"/>
                <wp:effectExtent l="0" t="0" r="0" b="0"/>
                <wp:wrapNone/>
                <wp:docPr id="5" name="直接连接符 5"/>
                <wp:cNvGraphicFramePr/>
                <a:graphic xmlns:a="http://schemas.openxmlformats.org/drawingml/2006/main">
                  <a:graphicData uri="http://schemas.microsoft.com/office/word/2010/wordprocessingShape">
                    <wps:wsp>
                      <wps:cNvCnPr/>
                      <wps:spPr>
                        <a:xfrm>
                          <a:off x="0" y="0"/>
                          <a:ext cx="5400040" cy="7620"/>
                        </a:xfrm>
                        <a:prstGeom prst="line">
                          <a:avLst/>
                        </a:prstGeom>
                        <a:ln w="1905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19.8pt;height:0.6pt;width:425.2pt;z-index:251661312;mso-width-relative:page;mso-height-relative:page;" filled="f" stroked="t" coordsize="21600,21600" o:gfxdata="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B0CAKNUAAAAGAQAA&#10;DwAAAAAAAAABACAAAAAiAAAAZHJzL2Rvd25yZXYueG1sUEsBAhQAFAAAAAgAh07iQF6+aezjAQAA&#10;qAMAAA4AAAAAAAAAAQAgAAAAJAEAAGRycy9lMm9Eb2MueG1sUEsFBgAAAAAGAAYAWQEAAHkFAAAA&#10;AA==&#10;">
                <v:fill on="f" focussize="0,0"/>
                <v:stroke weight="1.5pt" color="#000000" joinstyle="round"/>
                <v:imagedata o:title=""/>
                <o:lock v:ext="edit" aspectratio="f"/>
              </v:line>
            </w:pict>
          </mc:Fallback>
        </mc:AlternateContent>
      </w:r>
      <w:r>
        <w:rPr>
          <w:rFonts w:hint="eastAsia" w:ascii="仿宋_GB2312" w:eastAsia="仿宋_GB2312" w:cs="仿宋_GB2312"/>
          <w:color w:val="000000"/>
          <w:sz w:val="28"/>
          <w:szCs w:val="28"/>
          <w:lang w:bidi="ar"/>
        </w:rPr>
        <w:t>滕州市人民政府办公室                     2021年</w:t>
      </w:r>
      <w:r>
        <w:rPr>
          <w:rFonts w:hint="eastAsia" w:ascii="仿宋_GB2312" w:eastAsia="仿宋_GB2312" w:cs="仿宋_GB2312"/>
          <w:color w:val="000000"/>
          <w:sz w:val="28"/>
          <w:szCs w:val="28"/>
          <w:lang w:val="en-US" w:eastAsia="zh-CN" w:bidi="ar"/>
        </w:rPr>
        <w:t>9</w:t>
      </w:r>
      <w:r>
        <w:rPr>
          <w:rFonts w:hint="eastAsia" w:ascii="仿宋_GB2312" w:eastAsia="仿宋_GB2312" w:cs="仿宋_GB2312"/>
          <w:color w:val="000000"/>
          <w:sz w:val="28"/>
          <w:szCs w:val="28"/>
          <w:lang w:bidi="ar"/>
        </w:rPr>
        <w:t>月</w:t>
      </w:r>
      <w:r>
        <w:rPr>
          <w:rFonts w:hint="eastAsia" w:ascii="仿宋_GB2312" w:eastAsia="仿宋_GB2312" w:cs="仿宋_GB2312"/>
          <w:color w:val="000000"/>
          <w:sz w:val="28"/>
          <w:szCs w:val="28"/>
          <w:lang w:val="en-US" w:eastAsia="zh-CN" w:bidi="ar"/>
        </w:rPr>
        <w:t>26</w:t>
      </w:r>
      <w:r>
        <w:rPr>
          <w:rFonts w:hint="eastAsia" w:ascii="仿宋_GB2312" w:eastAsia="仿宋_GB2312" w:cs="仿宋_GB2312"/>
          <w:color w:val="000000"/>
          <w:sz w:val="28"/>
          <w:szCs w:val="28"/>
          <w:lang w:bidi="ar"/>
        </w:rPr>
        <w:t>日印发</w:t>
      </w:r>
    </w:p>
    <w:sectPr>
      <w:footerReference r:id="rId3" w:type="default"/>
      <w:pgSz w:w="11906" w:h="16838"/>
      <w:pgMar w:top="1587" w:right="1587" w:bottom="1587"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D40C2F"/>
    <w:rsid w:val="00AD2974"/>
    <w:rsid w:val="00CC1EC5"/>
    <w:rsid w:val="044847D5"/>
    <w:rsid w:val="063C3D4F"/>
    <w:rsid w:val="10F64D2B"/>
    <w:rsid w:val="10FF466C"/>
    <w:rsid w:val="176C0C9B"/>
    <w:rsid w:val="1835117E"/>
    <w:rsid w:val="1F257C89"/>
    <w:rsid w:val="1FC953F1"/>
    <w:rsid w:val="25212F5C"/>
    <w:rsid w:val="28AD70AC"/>
    <w:rsid w:val="2B342389"/>
    <w:rsid w:val="2F79667B"/>
    <w:rsid w:val="2FAB5031"/>
    <w:rsid w:val="38877C62"/>
    <w:rsid w:val="49A0057C"/>
    <w:rsid w:val="59216D05"/>
    <w:rsid w:val="59293190"/>
    <w:rsid w:val="59335E9D"/>
    <w:rsid w:val="5C0214AE"/>
    <w:rsid w:val="5FE46521"/>
    <w:rsid w:val="60F7476C"/>
    <w:rsid w:val="61F1242A"/>
    <w:rsid w:val="673A4675"/>
    <w:rsid w:val="684C229D"/>
    <w:rsid w:val="6EC5544D"/>
    <w:rsid w:val="743E164C"/>
    <w:rsid w:val="7A8A023A"/>
    <w:rsid w:val="7F411F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2021-09-24T00:49:00Z</dcterms:created>
  <dc:creator>潇成奕</dc:creator>
  <cp:lastModifiedBy>爱新觉罗-琛</cp:lastModifiedBy>
  <cp:lastPrinted>2021-09-25T04:09:00Z</cp:lastPrinted>
  <dcterms:modified xsi:type="dcterms:W3CDTF">2021-10-15T01:27:39Z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y fmtid="{D5CDD505-2E9C-101B-9397-08002B2CF9AE}" pid="3" name="ICV">
    <vt:lpwstr>EB6C4A479B844D22B357F40F2E19378D</vt:lpwstr>
  </property>
</Properties>
</file>